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502C" w:rsidRDefault="00E9502C" w:rsidP="00AC2379">
      <w:pPr>
        <w:rPr>
          <w:rFonts w:ascii="Arial" w:hAnsi="Arial" w:cs="Times New Roman"/>
          <w:color w:val="000000"/>
          <w:sz w:val="28"/>
          <w:szCs w:val="22"/>
          <w:lang w:val="en-US"/>
        </w:rPr>
      </w:pPr>
    </w:p>
    <w:p w:rsidR="00E9502C" w:rsidRPr="00AC2379" w:rsidRDefault="00E9502C" w:rsidP="00AC2379">
      <w:pPr>
        <w:rPr>
          <w:rFonts w:ascii="Arial" w:hAnsi="Arial" w:cs="Times New Roman"/>
          <w:b/>
          <w:color w:val="000000"/>
          <w:sz w:val="40"/>
          <w:szCs w:val="22"/>
          <w:lang w:val="en-US"/>
        </w:rPr>
      </w:pPr>
      <w:r w:rsidRPr="00AC2379">
        <w:rPr>
          <w:rFonts w:ascii="Arial" w:hAnsi="Arial" w:cs="Times New Roman"/>
          <w:b/>
          <w:color w:val="000000"/>
          <w:sz w:val="40"/>
          <w:szCs w:val="22"/>
          <w:lang w:val="en-US"/>
        </w:rPr>
        <w:t>ACADEMIC ACTIVITIES</w:t>
      </w:r>
    </w:p>
    <w:p w:rsidR="00E9502C" w:rsidRDefault="00E9502C" w:rsidP="00AC2379">
      <w:pPr>
        <w:rPr>
          <w:rFonts w:ascii="Times New Roman" w:hAnsi="Times New Roman"/>
          <w:sz w:val="28"/>
          <w:lang w:val="en-US"/>
        </w:rPr>
      </w:pPr>
    </w:p>
    <w:p w:rsidR="00E9502C" w:rsidRPr="00AC2379" w:rsidRDefault="00AC2379" w:rsidP="00AC2379">
      <w:pPr>
        <w:rPr>
          <w:rFonts w:ascii="Times New Roman" w:hAnsi="Times New Roman"/>
          <w:sz w:val="32"/>
          <w:lang w:val="en-US"/>
        </w:rPr>
      </w:pPr>
      <w:r w:rsidRPr="00AC2379">
        <w:rPr>
          <w:rFonts w:ascii="Times New Roman" w:hAnsi="Times New Roman"/>
          <w:sz w:val="32"/>
          <w:lang w:val="en-US"/>
        </w:rPr>
        <w:t>Presentations at</w:t>
      </w:r>
      <w:r w:rsidR="00E9502C" w:rsidRPr="00AC2379">
        <w:rPr>
          <w:rFonts w:ascii="Times New Roman" w:hAnsi="Times New Roman"/>
          <w:sz w:val="32"/>
          <w:lang w:val="en-US"/>
        </w:rPr>
        <w:t xml:space="preserve"> National Meetings:</w:t>
      </w:r>
    </w:p>
    <w:p w:rsidR="00AC2379" w:rsidRDefault="00AC2379" w:rsidP="00AC2379">
      <w:pPr>
        <w:rPr>
          <w:rFonts w:ascii="Times New Roman" w:hAnsi="Times New Roman"/>
          <w:sz w:val="28"/>
          <w:lang w:val="en-US"/>
        </w:rPr>
      </w:pPr>
    </w:p>
    <w:p w:rsidR="00AC2379" w:rsidRPr="00AC2379" w:rsidRDefault="00AC2379" w:rsidP="00AC2379">
      <w:pPr>
        <w:numPr>
          <w:ilvl w:val="0"/>
          <w:numId w:val="2"/>
        </w:numPr>
      </w:pPr>
      <w:r>
        <w:rPr>
          <w:bCs/>
        </w:rPr>
        <w:t xml:space="preserve">Christopher Barnes, </w:t>
      </w:r>
      <w:r w:rsidRPr="00AC2379">
        <w:rPr>
          <w:bCs/>
        </w:rPr>
        <w:t>Ahmet Selçuk Can</w:t>
      </w:r>
      <w:r>
        <w:rPr>
          <w:bCs/>
        </w:rPr>
        <w:t xml:space="preserve">. </w:t>
      </w:r>
      <w:r w:rsidRPr="000947D7">
        <w:rPr>
          <w:bCs/>
        </w:rPr>
        <w:t>S</w:t>
      </w:r>
      <w:r>
        <w:rPr>
          <w:bCs/>
        </w:rPr>
        <w:t>uspected isolated pituitary metastasis without other central nervous system metastasis from extensive stage small cell lung cancer. Poster Presentation at the 28th Annual Meeting of the American Association of Clinical Endocrinologists  Los Angeles, CA.</w:t>
      </w:r>
      <w:r>
        <w:rPr>
          <w:bCs/>
        </w:rPr>
        <w:t xml:space="preserve"> April 24-28, 2019. </w:t>
      </w:r>
      <w:r w:rsidRPr="00AC2379">
        <w:rPr>
          <w:bCs/>
        </w:rPr>
        <w:t xml:space="preserve"> </w:t>
      </w:r>
    </w:p>
    <w:p w:rsidR="00AC2379" w:rsidRDefault="00AC2379" w:rsidP="00AC2379">
      <w:pPr>
        <w:ind w:left="360"/>
      </w:pPr>
      <w:r w:rsidRPr="00AC2379">
        <w:rPr>
          <w:bCs/>
        </w:rPr>
        <w:t xml:space="preserve">Link: </w:t>
      </w:r>
      <w:hyperlink r:id="rId5" w:history="1">
        <w:r>
          <w:rPr>
            <w:rStyle w:val="Hyperlink"/>
          </w:rPr>
          <w:t>https://www.eventscribe.com/2019/posters/AACE/SplitViewer.asp?PID=Mzk3MzY0MzU2MDA</w:t>
        </w:r>
      </w:hyperlink>
    </w:p>
    <w:p w:rsidR="00AC2379" w:rsidRDefault="00AC2379" w:rsidP="00AC2379">
      <w:pPr>
        <w:ind w:left="360"/>
      </w:pPr>
    </w:p>
    <w:p w:rsidR="00AC2379" w:rsidRPr="00AC2379" w:rsidRDefault="00AC2379" w:rsidP="00AC2379">
      <w:pPr>
        <w:numPr>
          <w:ilvl w:val="0"/>
          <w:numId w:val="2"/>
        </w:numPr>
      </w:pPr>
      <w:r w:rsidRPr="00C915E0">
        <w:t xml:space="preserve">Christopher Barnes, Jimmie Mar, Tahir Haytoğlu, </w:t>
      </w:r>
      <w:r w:rsidRPr="00AC2379">
        <w:t>Ahmet Selçuk Can.</w:t>
      </w:r>
      <w:r w:rsidRPr="00C915E0">
        <w:t xml:space="preserve"> Evaluation of a free T3 assay from endocrinologists’ point of view.</w:t>
      </w:r>
      <w:r>
        <w:t xml:space="preserve"> </w:t>
      </w:r>
      <w:r w:rsidRPr="002A062E">
        <w:rPr>
          <w:bCs/>
        </w:rPr>
        <w:t>Poster Presentation at the 28th Annual Meeting of the American Association of Clinical Endocrinologists  Los Angeles, CA. April</w:t>
      </w:r>
      <w:r>
        <w:rPr>
          <w:bCs/>
        </w:rPr>
        <w:t xml:space="preserve"> 24-28, 2019.  </w:t>
      </w:r>
    </w:p>
    <w:p w:rsidR="00AC2379" w:rsidRDefault="00AC2379" w:rsidP="00AC2379">
      <w:pPr>
        <w:ind w:left="360"/>
      </w:pPr>
      <w:r w:rsidRPr="002A062E">
        <w:rPr>
          <w:bCs/>
        </w:rPr>
        <w:t xml:space="preserve">Link: </w:t>
      </w:r>
      <w:hyperlink r:id="rId6" w:history="1">
        <w:r>
          <w:rPr>
            <w:rStyle w:val="Hyperlink"/>
          </w:rPr>
          <w:t>https://www.eventscribe.com/2019/posters/AACE/SplitViewer.asp?PID=Mzk3NDA4MjEyMDE</w:t>
        </w:r>
      </w:hyperlink>
    </w:p>
    <w:p w:rsidR="00AC2379" w:rsidRDefault="00AC2379" w:rsidP="00AC2379"/>
    <w:p w:rsidR="00AC2379" w:rsidRDefault="00AC2379" w:rsidP="00AC2379">
      <w:pPr>
        <w:numPr>
          <w:ilvl w:val="0"/>
          <w:numId w:val="2"/>
        </w:numPr>
        <w:autoSpaceDE w:val="0"/>
        <w:rPr>
          <w:bCs/>
        </w:rPr>
      </w:pPr>
      <w:r w:rsidRPr="00FA079B">
        <w:rPr>
          <w:bCs/>
        </w:rPr>
        <w:t>Christopher Barnes, Yusef Hazimeh, Sablaa Ali</w:t>
      </w:r>
      <w:r w:rsidRPr="00AC2379">
        <w:rPr>
          <w:bCs/>
        </w:rPr>
        <w:t>, Ahmet Selçuk Can</w:t>
      </w:r>
      <w:r w:rsidRPr="00FA079B">
        <w:rPr>
          <w:bCs/>
        </w:rPr>
        <w:t>. Sensitivity, specificity and accuracy of ultrasound guided thyroid fine needle aspiration biopsy and suggestions to decrease unsatisfactory results</w:t>
      </w:r>
      <w:r>
        <w:rPr>
          <w:bCs/>
        </w:rPr>
        <w:t>. P</w:t>
      </w:r>
      <w:r w:rsidRPr="002A062E">
        <w:rPr>
          <w:bCs/>
        </w:rPr>
        <w:t>oster Presentation at the 28th Annual Meeting of the American Association of Clinical Endocrinologists  Los Ange</w:t>
      </w:r>
      <w:r>
        <w:rPr>
          <w:bCs/>
        </w:rPr>
        <w:t xml:space="preserve">les, CA. April 24-28, 2019.  </w:t>
      </w:r>
    </w:p>
    <w:p w:rsidR="00AC2379" w:rsidRDefault="00AC2379" w:rsidP="00AC2379">
      <w:pPr>
        <w:autoSpaceDE w:val="0"/>
        <w:ind w:left="360"/>
        <w:rPr>
          <w:bCs/>
        </w:rPr>
      </w:pPr>
      <w:r w:rsidRPr="002A062E">
        <w:rPr>
          <w:bCs/>
        </w:rPr>
        <w:t xml:space="preserve">Link: </w:t>
      </w:r>
    </w:p>
    <w:p w:rsidR="00AC2379" w:rsidRDefault="00AC2379" w:rsidP="00AC2379">
      <w:pPr>
        <w:ind w:left="360"/>
      </w:pPr>
      <w:hyperlink r:id="rId7" w:history="1">
        <w:r>
          <w:rPr>
            <w:rStyle w:val="Hyperlink"/>
          </w:rPr>
          <w:t>https://www.eventscribe.com/2019/posters/AACE/SplitViewer.asp?PID=Mzk3Mzg4Mjc3MTY</w:t>
        </w:r>
      </w:hyperlink>
    </w:p>
    <w:p w:rsidR="00AC2379" w:rsidRPr="00FA079B" w:rsidRDefault="00AC2379" w:rsidP="00AC2379">
      <w:pPr>
        <w:autoSpaceDE w:val="0"/>
        <w:ind w:left="360"/>
        <w:rPr>
          <w:bCs/>
        </w:rPr>
      </w:pPr>
    </w:p>
    <w:p w:rsidR="00AC2379" w:rsidRDefault="00AC2379" w:rsidP="00AC2379">
      <w:pPr>
        <w:numPr>
          <w:ilvl w:val="0"/>
          <w:numId w:val="2"/>
        </w:numPr>
        <w:autoSpaceDE w:val="0"/>
        <w:rPr>
          <w:bCs/>
        </w:rPr>
      </w:pPr>
      <w:r w:rsidRPr="00AC2379">
        <w:t>Ahmet Selçuk Can</w:t>
      </w:r>
      <w:r w:rsidRPr="007A0581">
        <w:t xml:space="preserve">. A proposal to improve and utilize very high dose dexamethasone suppression test in the etiologic diagnosis of Cushing’s Syndrome. </w:t>
      </w:r>
      <w:r>
        <w:rPr>
          <w:bCs/>
        </w:rPr>
        <w:t>P</w:t>
      </w:r>
      <w:r w:rsidRPr="002A062E">
        <w:rPr>
          <w:bCs/>
        </w:rPr>
        <w:t xml:space="preserve">oster Presentation at the 28th Annual Meeting of the American Association of Clinical Endocrinologists  Los Angeles, CA. </w:t>
      </w:r>
      <w:r>
        <w:rPr>
          <w:bCs/>
        </w:rPr>
        <w:t xml:space="preserve">April 24-28, 2019. </w:t>
      </w:r>
    </w:p>
    <w:p w:rsidR="00AC2379" w:rsidRDefault="00AC2379" w:rsidP="00AC2379">
      <w:pPr>
        <w:autoSpaceDE w:val="0"/>
        <w:ind w:left="360"/>
        <w:rPr>
          <w:bCs/>
        </w:rPr>
      </w:pPr>
      <w:r w:rsidRPr="002A062E">
        <w:rPr>
          <w:bCs/>
        </w:rPr>
        <w:t>Link</w:t>
      </w:r>
      <w:r>
        <w:rPr>
          <w:bCs/>
        </w:rPr>
        <w:t>:</w:t>
      </w:r>
    </w:p>
    <w:p w:rsidR="00AC2379" w:rsidRDefault="00AC2379" w:rsidP="00AC2379">
      <w:pPr>
        <w:ind w:left="360"/>
      </w:pPr>
      <w:hyperlink r:id="rId8" w:history="1">
        <w:r>
          <w:rPr>
            <w:rStyle w:val="Hyperlink"/>
          </w:rPr>
          <w:t>https://www.eventscribe.com/2019/posters/AACE/SplitViewer.asp?PID=Mzk3MjA4ODg2MDE</w:t>
        </w:r>
      </w:hyperlink>
    </w:p>
    <w:p w:rsidR="00AC2379" w:rsidRDefault="00AC2379" w:rsidP="00AC2379">
      <w:pPr>
        <w:ind w:left="360"/>
      </w:pPr>
    </w:p>
    <w:p w:rsidR="00AC2379" w:rsidRDefault="00AC2379" w:rsidP="00AC2379">
      <w:pPr>
        <w:numPr>
          <w:ilvl w:val="0"/>
          <w:numId w:val="2"/>
        </w:numPr>
        <w:autoSpaceDE w:val="0"/>
        <w:rPr>
          <w:bCs/>
        </w:rPr>
      </w:pPr>
      <w:r w:rsidRPr="007A0581">
        <w:t xml:space="preserve">Christopher Barnes, Yusef Hazimeh, </w:t>
      </w:r>
      <w:r w:rsidRPr="00AC2379">
        <w:t>Ahmet Selçuk Can</w:t>
      </w:r>
      <w:r w:rsidRPr="007A0581">
        <w:t xml:space="preserve">, Tahir Haytoğlu. Phenytoin toxicity causing exacerbation of adrenal insufficiency. </w:t>
      </w:r>
      <w:r>
        <w:rPr>
          <w:bCs/>
        </w:rPr>
        <w:t>P</w:t>
      </w:r>
      <w:r w:rsidRPr="002A062E">
        <w:rPr>
          <w:bCs/>
        </w:rPr>
        <w:t>oster Presentation at the 28th Annual Meeting of the American Association of Clinical Endocrinologists  Los Ange</w:t>
      </w:r>
      <w:r>
        <w:rPr>
          <w:bCs/>
        </w:rPr>
        <w:t xml:space="preserve">les, CA. April 24-28, 2019. </w:t>
      </w:r>
    </w:p>
    <w:p w:rsidR="00AC2379" w:rsidRDefault="00AC2379" w:rsidP="00AC2379">
      <w:pPr>
        <w:autoSpaceDE w:val="0"/>
        <w:ind w:left="360"/>
        <w:rPr>
          <w:bCs/>
        </w:rPr>
      </w:pPr>
      <w:r w:rsidRPr="002A062E">
        <w:rPr>
          <w:bCs/>
        </w:rPr>
        <w:t>Link</w:t>
      </w:r>
      <w:r>
        <w:rPr>
          <w:bCs/>
        </w:rPr>
        <w:t>:</w:t>
      </w:r>
    </w:p>
    <w:p w:rsidR="00AC2379" w:rsidRDefault="00AC2379" w:rsidP="00AC2379">
      <w:pPr>
        <w:ind w:left="360"/>
      </w:pPr>
      <w:hyperlink r:id="rId9" w:history="1">
        <w:r w:rsidRPr="00BF7CAD">
          <w:rPr>
            <w:rStyle w:val="Hyperlink"/>
          </w:rPr>
          <w:t>https://www.eventscribe.com/2019/posters/AACE/SplitViewer.asp?PID=Mzk3NDM2MTIxNjQ#</w:t>
        </w:r>
      </w:hyperlink>
    </w:p>
    <w:p w:rsidR="00AC2379" w:rsidRDefault="00AC2379" w:rsidP="00AC2379">
      <w:pPr>
        <w:autoSpaceDE w:val="0"/>
        <w:ind w:left="360"/>
        <w:rPr>
          <w:bCs/>
        </w:rPr>
      </w:pPr>
    </w:p>
    <w:p w:rsidR="00AC2379" w:rsidRDefault="00AC2379" w:rsidP="00AC2379">
      <w:pPr>
        <w:numPr>
          <w:ilvl w:val="0"/>
          <w:numId w:val="2"/>
        </w:numPr>
        <w:autoSpaceDE w:val="0"/>
        <w:rPr>
          <w:bCs/>
        </w:rPr>
      </w:pPr>
      <w:r w:rsidRPr="00025554">
        <w:rPr>
          <w:bCs/>
        </w:rPr>
        <w:t xml:space="preserve">Jaya Naran, Mohammed Raza, Vidhya Reddy, Tahir Haytoğlu, </w:t>
      </w:r>
      <w:r w:rsidRPr="00AC2379">
        <w:rPr>
          <w:bCs/>
        </w:rPr>
        <w:t>Ahmet Can</w:t>
      </w:r>
      <w:r w:rsidRPr="00025554">
        <w:rPr>
          <w:bCs/>
        </w:rPr>
        <w:t xml:space="preserve">. A finding of Fahr’s Disease in a patient with hypoparathyroidism. Poster Presentation at the 29th Annual Meeting of the American Association of Clinical Endocrinologists Scientific &amp; Clinical Congress. </w:t>
      </w:r>
    </w:p>
    <w:p w:rsidR="00AC2379" w:rsidRPr="00025554" w:rsidRDefault="00AC2379" w:rsidP="00AC2379">
      <w:pPr>
        <w:autoSpaceDE w:val="0"/>
        <w:ind w:left="360"/>
        <w:rPr>
          <w:bCs/>
        </w:rPr>
      </w:pPr>
      <w:r w:rsidRPr="00025554">
        <w:rPr>
          <w:bCs/>
        </w:rPr>
        <w:t>Link: https://journals.aace.com/doi/pdf/10.4158/1934-2403-26.s2.1. Page 59 Abstract #804622</w:t>
      </w:r>
    </w:p>
    <w:p w:rsidR="00AC2379" w:rsidRPr="00025554" w:rsidRDefault="00AC2379" w:rsidP="00AC2379">
      <w:pPr>
        <w:autoSpaceDE w:val="0"/>
        <w:ind w:left="390"/>
        <w:rPr>
          <w:bCs/>
        </w:rPr>
      </w:pPr>
    </w:p>
    <w:p w:rsidR="00AC2379" w:rsidRDefault="00AC2379" w:rsidP="00AC2379">
      <w:pPr>
        <w:numPr>
          <w:ilvl w:val="0"/>
          <w:numId w:val="2"/>
        </w:numPr>
        <w:autoSpaceDE w:val="0"/>
        <w:rPr>
          <w:bCs/>
        </w:rPr>
      </w:pPr>
      <w:r w:rsidRPr="00025554">
        <w:rPr>
          <w:bCs/>
        </w:rPr>
        <w:t xml:space="preserve">Jaya Naran, Mohammed Raza, Vidhya Reddy, Abhiram Javvaji, </w:t>
      </w:r>
      <w:r w:rsidRPr="00AC2379">
        <w:rPr>
          <w:bCs/>
        </w:rPr>
        <w:t>Ahmet Can</w:t>
      </w:r>
      <w:r w:rsidRPr="00025554">
        <w:rPr>
          <w:bCs/>
        </w:rPr>
        <w:t xml:space="preserve">, Tahir Haytoğlu, Christopher Barnes, Yusef Hazimeh. The relationship between thyroid status, Hashimoto’s thyroiditis and ultrasound guided thyroid fine needle aspiration biopsy results. accepted as Oral Presentation (not done due to COVID -19 pandemic) at the 29th Annual Meeting of the American Association of Clinical Endocrinologists Scientific &amp; Clinical Congress. </w:t>
      </w:r>
    </w:p>
    <w:p w:rsidR="00AC2379" w:rsidRPr="00025554" w:rsidRDefault="00AC2379" w:rsidP="00AC2379">
      <w:pPr>
        <w:autoSpaceDE w:val="0"/>
        <w:ind w:left="360"/>
        <w:rPr>
          <w:bCs/>
        </w:rPr>
      </w:pPr>
      <w:r w:rsidRPr="00025554">
        <w:rPr>
          <w:bCs/>
        </w:rPr>
        <w:t>Link: https://journals.aace.com/doi/pdf/10.4158/1934-2403-26.s2.1. Page 269 Abstract #804572</w:t>
      </w:r>
    </w:p>
    <w:p w:rsidR="00AC2379" w:rsidRPr="00025554" w:rsidRDefault="00AC2379" w:rsidP="00AC2379">
      <w:pPr>
        <w:autoSpaceDE w:val="0"/>
        <w:ind w:left="390"/>
        <w:rPr>
          <w:bCs/>
        </w:rPr>
      </w:pPr>
    </w:p>
    <w:p w:rsidR="00AC2379" w:rsidRDefault="00AC2379" w:rsidP="00AC2379">
      <w:pPr>
        <w:numPr>
          <w:ilvl w:val="0"/>
          <w:numId w:val="2"/>
        </w:numPr>
        <w:autoSpaceDE w:val="0"/>
        <w:rPr>
          <w:bCs/>
        </w:rPr>
      </w:pPr>
      <w:r w:rsidRPr="00025554">
        <w:rPr>
          <w:bCs/>
        </w:rPr>
        <w:t xml:space="preserve">Jaya Naran, Christopher Barnes, </w:t>
      </w:r>
      <w:r w:rsidRPr="00AC2379">
        <w:rPr>
          <w:bCs/>
        </w:rPr>
        <w:t>Ahmet Can</w:t>
      </w:r>
      <w:r w:rsidRPr="00025554">
        <w:rPr>
          <w:bCs/>
        </w:rPr>
        <w:t xml:space="preserve">. Percutaneous ethanol injection for a recurrent cystic thyroid nodule. Poster Presentation at the 29th Annual Meeting of the American Association of Clinical Endocrinologists Scientific &amp; Clinical Congress. Link: </w:t>
      </w:r>
    </w:p>
    <w:p w:rsidR="00AC2379" w:rsidRPr="00025554" w:rsidRDefault="00AC2379" w:rsidP="00AC2379">
      <w:pPr>
        <w:autoSpaceDE w:val="0"/>
        <w:ind w:left="360"/>
        <w:rPr>
          <w:bCs/>
        </w:rPr>
      </w:pPr>
      <w:r w:rsidRPr="00025554">
        <w:rPr>
          <w:bCs/>
        </w:rPr>
        <w:t>https://journals.aace.com/doi/pdf/10.4158/1934-2403-26.s2.1. Page 270 Abstract #804819</w:t>
      </w:r>
    </w:p>
    <w:p w:rsidR="00AC2379" w:rsidRPr="00025554" w:rsidRDefault="00AC2379" w:rsidP="00AC2379">
      <w:pPr>
        <w:autoSpaceDE w:val="0"/>
        <w:ind w:left="390"/>
        <w:rPr>
          <w:bCs/>
        </w:rPr>
      </w:pPr>
    </w:p>
    <w:p w:rsidR="00AC2379" w:rsidRDefault="00AC2379" w:rsidP="00AC2379">
      <w:pPr>
        <w:numPr>
          <w:ilvl w:val="0"/>
          <w:numId w:val="2"/>
        </w:numPr>
        <w:autoSpaceDE w:val="0"/>
        <w:rPr>
          <w:bCs/>
        </w:rPr>
      </w:pPr>
      <w:r w:rsidRPr="00AC2379">
        <w:rPr>
          <w:bCs/>
        </w:rPr>
        <w:t>Ahmet Selçuk Can</w:t>
      </w:r>
      <w:r w:rsidRPr="00025554">
        <w:rPr>
          <w:bCs/>
        </w:rPr>
        <w:t xml:space="preserve">. False positive thyroglobulin washout level in a patient presenting with thyroglossal duct cyst and a history of thyroid cancer. Poster Presentation at the 29th Annual Meeting of the American Association of Clinical Endocrinologists </w:t>
      </w:r>
      <w:r>
        <w:rPr>
          <w:bCs/>
        </w:rPr>
        <w:t>Scientific &amp; Clinical Congress.</w:t>
      </w:r>
    </w:p>
    <w:p w:rsidR="00AC2379" w:rsidRPr="00025554" w:rsidRDefault="00AC2379" w:rsidP="00AC2379">
      <w:pPr>
        <w:autoSpaceDE w:val="0"/>
        <w:ind w:left="360"/>
        <w:rPr>
          <w:bCs/>
        </w:rPr>
      </w:pPr>
      <w:r w:rsidRPr="00025554">
        <w:rPr>
          <w:bCs/>
        </w:rPr>
        <w:t>Link: https://journals.aace.com/doi/pdf/10.4158/1934-2403-26.s2.1. Page 266 Abstract #804234</w:t>
      </w:r>
    </w:p>
    <w:p w:rsidR="00AC2379" w:rsidRDefault="00AC2379" w:rsidP="00AC2379">
      <w:pPr>
        <w:rPr>
          <w:rFonts w:ascii="Times New Roman" w:hAnsi="Times New Roman"/>
          <w:sz w:val="28"/>
          <w:lang w:val="en-US"/>
        </w:rPr>
      </w:pPr>
    </w:p>
    <w:p w:rsidR="00AC2379" w:rsidRDefault="00AC2379" w:rsidP="00AC2379">
      <w:pPr>
        <w:rPr>
          <w:rFonts w:ascii="Times New Roman" w:hAnsi="Times New Roman"/>
          <w:sz w:val="32"/>
          <w:lang w:val="en-US"/>
        </w:rPr>
      </w:pPr>
      <w:r w:rsidRPr="00AC2379">
        <w:rPr>
          <w:rFonts w:ascii="Times New Roman" w:hAnsi="Times New Roman"/>
          <w:sz w:val="32"/>
          <w:lang w:val="en-US"/>
        </w:rPr>
        <w:t>Online Book Chapters</w:t>
      </w:r>
    </w:p>
    <w:p w:rsidR="00AC2379" w:rsidRDefault="00AC2379" w:rsidP="00AC2379">
      <w:pPr>
        <w:rPr>
          <w:rFonts w:ascii="Times New Roman" w:hAnsi="Times New Roman"/>
          <w:sz w:val="32"/>
          <w:lang w:val="en-US"/>
        </w:rPr>
      </w:pPr>
    </w:p>
    <w:p w:rsidR="00AC2379" w:rsidRDefault="00AC2379" w:rsidP="00AC2379">
      <w:pPr>
        <w:spacing w:beforeAutospacing="1" w:afterAutospacing="1"/>
        <w:ind w:left="357" w:hanging="357"/>
      </w:pPr>
      <w:r>
        <w:t>Can AS, Rehman A. Goiter. [Updated 2020 Nov 29]. In: StatPearls [Internet]. Treasure Island (FL): StatPearls Publishing; 2020 Jan-. Available from: https://www.ncbi.nlm.nih.gov/books/NBK562161/</w:t>
      </w:r>
    </w:p>
    <w:p w:rsidR="00AC2379" w:rsidRDefault="00AC2379" w:rsidP="00AC2379">
      <w:pPr>
        <w:spacing w:beforeAutospacing="1" w:afterAutospacing="1"/>
        <w:ind w:left="357" w:hanging="357"/>
      </w:pPr>
      <w:r>
        <w:t>2)</w:t>
      </w:r>
      <w:r>
        <w:tab/>
        <w:t>Can AS, Nagalli S. Substernal Goiter. [Updated 2020 Apr 24]. In: StatPearls [Internet]. Treasure Island (FL): StatPearls Publishing; 2020 Jan-. Available from: https://www.ncbi.nlm.nih.gov/books/NBK557416/</w:t>
      </w:r>
    </w:p>
    <w:p w:rsidR="00AC2379" w:rsidRDefault="00AC2379" w:rsidP="00AC2379">
      <w:pPr>
        <w:spacing w:beforeAutospacing="1" w:afterAutospacing="1"/>
        <w:ind w:left="357" w:hanging="357"/>
      </w:pPr>
      <w:r>
        <w:t>3)</w:t>
      </w:r>
      <w:r>
        <w:tab/>
        <w:t>Patel PH, Can AS. Colesevelam. [Updated 2020 May 22]. In: StatPearls [Internet]. Treasure Island (FL): StatPearls Publishing; 2020 Jan-. Available from: https://www.ncbi.nlm.nih.gov/books/NBK557815/</w:t>
      </w:r>
    </w:p>
    <w:p w:rsidR="00AC2379" w:rsidRDefault="00AC2379" w:rsidP="00AC2379">
      <w:pPr>
        <w:spacing w:beforeAutospacing="1" w:afterAutospacing="1"/>
        <w:ind w:left="357" w:hanging="357"/>
      </w:pPr>
      <w:r>
        <w:t>4)</w:t>
      </w:r>
      <w:r>
        <w:tab/>
        <w:t>Chakraborty A, Can AS. Calcium Gluconate. [Updated 2020 May 21]. In: StatPearls [Internet]. Treasure Island (FL): StatPearls Publishing; 2020 Jan-. Available from: https://www.ncbi.nlm.nih.gov/books/NBK557463/</w:t>
      </w:r>
    </w:p>
    <w:p w:rsidR="00AC2379" w:rsidRDefault="00AC2379" w:rsidP="00AC2379">
      <w:pPr>
        <w:spacing w:beforeAutospacing="1" w:afterAutospacing="1"/>
        <w:ind w:left="357" w:hanging="357"/>
      </w:pPr>
      <w:r>
        <w:t>5)</w:t>
      </w:r>
      <w:r>
        <w:tab/>
        <w:t>Senewiratne NL, Can AS. Sodium Bicarbonate. [Updated 2020 Jun 4]. In: StatPearls [Internet]. Treasure Island (FL): StatPearls Publishing; 2020 Jan-. Available from: https://www.ncbi.nlm.nih.gov/books/NBK559139/?report=classic</w:t>
      </w:r>
    </w:p>
    <w:p w:rsidR="00AC2379" w:rsidRDefault="00AC2379" w:rsidP="00AC2379">
      <w:pPr>
        <w:spacing w:beforeAutospacing="1" w:afterAutospacing="1"/>
        <w:ind w:left="357" w:hanging="357"/>
      </w:pPr>
      <w:r>
        <w:t>6)</w:t>
      </w:r>
      <w:r>
        <w:tab/>
        <w:t>Kazmi SRH, Can AS. Luteinizing Hormone Deficiency. [Updated 2020 Nov 29]. In: StatPearls [Internet]. Treasure Island (FL): StatPearls Publishing; 2020 Jan-. Available from: https://www.ncbi.nlm.nih.gov/books/NBK562219/</w:t>
      </w:r>
    </w:p>
    <w:p w:rsidR="00AC2379" w:rsidRDefault="00AC2379" w:rsidP="00AC2379">
      <w:pPr>
        <w:spacing w:beforeAutospacing="1" w:afterAutospacing="1"/>
        <w:ind w:left="357" w:hanging="357"/>
      </w:pPr>
      <w:r>
        <w:t>7)</w:t>
      </w:r>
      <w:r>
        <w:tab/>
        <w:t>Naran J, Can AS. Lymphocytic Hypophysitis. [Updated 2020 Nov 29]. In: StatPearls [Internet]. Treasure Island (FL): StatPearls Publishing; 2020 Jan-. Available from: https://www.ncbi.nlm.nih.gov/books/NBK562255/</w:t>
      </w:r>
    </w:p>
    <w:p w:rsidR="00AC2379" w:rsidRDefault="00AC2379" w:rsidP="00AC2379">
      <w:pPr>
        <w:spacing w:beforeAutospacing="1" w:afterAutospacing="1"/>
        <w:ind w:left="357" w:hanging="357"/>
      </w:pPr>
      <w:r>
        <w:t>8)</w:t>
      </w:r>
      <w:r>
        <w:tab/>
        <w:t>Ashfaq S, Can AS. Danazol. [Updated 2020 Nov 29]. In: StatPearls [Internet]. Treasure Island (FL): StatPearls Publishing; 2020 Jan-. Available from: https://www.ncbi.nlm.nih.gov/books/NBK564344/</w:t>
      </w:r>
    </w:p>
    <w:p w:rsidR="00AC2379" w:rsidRDefault="00AC2379" w:rsidP="00AC2379">
      <w:pPr>
        <w:spacing w:beforeAutospacing="1" w:afterAutospacing="1"/>
        <w:ind w:left="357" w:hanging="357"/>
      </w:pPr>
      <w:r>
        <w:t>9)</w:t>
      </w:r>
      <w:r>
        <w:tab/>
        <w:t>Khalid N, Can AS. Plummer Disease. [Updated 2020 Dec 13]. In: StatPearls [Internet]. Treasure Island (FL): StatPearls Publishing; 2020 Jan-. Available from: https://www.ncbi.nlm.nih.gov/books/NBK565856/</w:t>
      </w:r>
    </w:p>
    <w:p w:rsidR="00AC2379" w:rsidRDefault="00AC2379" w:rsidP="00AC2379">
      <w:pPr>
        <w:spacing w:beforeAutospacing="1" w:afterAutospacing="1"/>
        <w:ind w:left="357" w:hanging="357"/>
      </w:pPr>
      <w:r>
        <w:t>10)</w:t>
      </w:r>
      <w:r>
        <w:tab/>
        <w:t>Edwards M, Can AS. Progestin. [Updated 2020 Nov 29]. In: StatPearls [Internet]. Treasure Island (FL): StatPearls Publishing; 2020 Jan-. Available from: https://www.ncbi.nlm.nih.gov/books/NBK563211/</w:t>
      </w:r>
    </w:p>
    <w:p w:rsidR="00544D34" w:rsidRPr="00AC2379" w:rsidRDefault="00544D34" w:rsidP="00AC2379">
      <w:pPr>
        <w:rPr>
          <w:rFonts w:ascii="Times New Roman" w:hAnsi="Times New Roman"/>
          <w:sz w:val="28"/>
          <w:lang w:val="en-US"/>
        </w:rPr>
      </w:pPr>
    </w:p>
    <w:sectPr w:rsidR="00544D34" w:rsidRPr="00AC2379" w:rsidSect="00F27AF6">
      <w:pgSz w:w="11899" w:h="16838"/>
      <w:pgMar w:top="1440" w:right="1440" w:bottom="1440" w:left="1440" w:gutter="0"/>
      <w:printerSettings r:id="rId1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EE2518"/>
    <w:multiLevelType w:val="singleLevel"/>
    <w:tmpl w:val="041F0011"/>
    <w:lvl w:ilvl="0">
      <w:start w:val="1"/>
      <w:numFmt w:val="decimal"/>
      <w:lvlText w:val="%1)"/>
      <w:lvlJc w:val="left"/>
      <w:pPr>
        <w:tabs>
          <w:tab w:val="num" w:pos="360"/>
        </w:tabs>
        <w:ind w:left="360" w:hanging="360"/>
      </w:pPr>
      <w:rPr>
        <w:rFonts w:hint="default"/>
      </w:rPr>
    </w:lvl>
  </w:abstractNum>
  <w:abstractNum w:abstractNumId="1">
    <w:nsid w:val="6F585A1E"/>
    <w:multiLevelType w:val="hybridMultilevel"/>
    <w:tmpl w:val="06761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docVars>
    <w:docVar w:name="EN.InstantFormat" w:val="&lt;ENInstantFormat&gt;&lt;Enabled&gt;0&lt;/Enabled&gt;&lt;ScanUnformatted&gt;1&lt;/ScanUnformatted&gt;&lt;ScanChanges&gt;1&lt;/ScanChanges&gt;&lt;Suspended&gt;1&lt;/Suspended&gt;&lt;/ENInstantFormat&gt;"/>
  </w:docVars>
  <w:rsids>
    <w:rsidRoot w:val="00FF232D"/>
    <w:rsid w:val="000C6122"/>
    <w:rsid w:val="000D4C27"/>
    <w:rsid w:val="00103438"/>
    <w:rsid w:val="0014055E"/>
    <w:rsid w:val="001442B2"/>
    <w:rsid w:val="001A3A11"/>
    <w:rsid w:val="001B0551"/>
    <w:rsid w:val="001D4E65"/>
    <w:rsid w:val="001E3085"/>
    <w:rsid w:val="002837CE"/>
    <w:rsid w:val="002D2826"/>
    <w:rsid w:val="002D2FA3"/>
    <w:rsid w:val="00327E65"/>
    <w:rsid w:val="003A13E8"/>
    <w:rsid w:val="00450E8E"/>
    <w:rsid w:val="004C0607"/>
    <w:rsid w:val="00544D34"/>
    <w:rsid w:val="005643D8"/>
    <w:rsid w:val="005A3C3B"/>
    <w:rsid w:val="005B1B23"/>
    <w:rsid w:val="00635ECF"/>
    <w:rsid w:val="007054C2"/>
    <w:rsid w:val="00715100"/>
    <w:rsid w:val="00723BF8"/>
    <w:rsid w:val="00733498"/>
    <w:rsid w:val="007843AB"/>
    <w:rsid w:val="007B79AF"/>
    <w:rsid w:val="007E4BE2"/>
    <w:rsid w:val="007F43A3"/>
    <w:rsid w:val="00833CCA"/>
    <w:rsid w:val="008C4E76"/>
    <w:rsid w:val="008C5B83"/>
    <w:rsid w:val="008F695D"/>
    <w:rsid w:val="008F7FD3"/>
    <w:rsid w:val="00905F9C"/>
    <w:rsid w:val="009244CC"/>
    <w:rsid w:val="00964332"/>
    <w:rsid w:val="009759F5"/>
    <w:rsid w:val="009A3D1B"/>
    <w:rsid w:val="00A31A8D"/>
    <w:rsid w:val="00A66B28"/>
    <w:rsid w:val="00AC2379"/>
    <w:rsid w:val="00BA0D0E"/>
    <w:rsid w:val="00BE38D7"/>
    <w:rsid w:val="00CA164F"/>
    <w:rsid w:val="00CB26B9"/>
    <w:rsid w:val="00CC0A3C"/>
    <w:rsid w:val="00D404EA"/>
    <w:rsid w:val="00D656F9"/>
    <w:rsid w:val="00D70E36"/>
    <w:rsid w:val="00DE7156"/>
    <w:rsid w:val="00DF1B78"/>
    <w:rsid w:val="00E573F0"/>
    <w:rsid w:val="00E9502C"/>
    <w:rsid w:val="00EA3BA9"/>
    <w:rsid w:val="00F00021"/>
    <w:rsid w:val="00F26A8C"/>
    <w:rsid w:val="00F27AF6"/>
    <w:rsid w:val="00FE1D04"/>
    <w:rsid w:val="00FF232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9E"/>
    <w:rPr>
      <w:lang w:val="tr-T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244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6A8C"/>
    <w:pPr>
      <w:ind w:left="720"/>
      <w:contextualSpacing/>
    </w:pPr>
  </w:style>
  <w:style w:type="character" w:styleId="Hyperlink">
    <w:name w:val="Hyperlink"/>
    <w:basedOn w:val="DefaultParagraphFont"/>
    <w:uiPriority w:val="99"/>
    <w:rsid w:val="00964332"/>
    <w:rPr>
      <w:color w:val="0000FF"/>
      <w:u w:val="single"/>
    </w:rPr>
  </w:style>
  <w:style w:type="character" w:styleId="FollowedHyperlink">
    <w:name w:val="FollowedHyperlink"/>
    <w:basedOn w:val="DefaultParagraphFont"/>
    <w:uiPriority w:val="99"/>
    <w:semiHidden/>
    <w:unhideWhenUsed/>
    <w:rsid w:val="007B79AF"/>
    <w:rPr>
      <w:color w:val="800080" w:themeColor="followedHyperlink"/>
      <w:u w:val="single"/>
    </w:rPr>
  </w:style>
  <w:style w:type="paragraph" w:styleId="NormalWeb">
    <w:name w:val="Normal (Web)"/>
    <w:basedOn w:val="Normal"/>
    <w:uiPriority w:val="99"/>
    <w:rsid w:val="00D70E36"/>
    <w:pPr>
      <w:spacing w:beforeLines="1" w:afterLines="1"/>
    </w:pPr>
    <w:rPr>
      <w:rFonts w:ascii="Times" w:hAnsi="Times" w:cs="Times New Roman"/>
      <w:sz w:val="20"/>
      <w:szCs w:val="20"/>
      <w:lang w:val="en-US"/>
    </w:rPr>
  </w:style>
  <w:style w:type="character" w:customStyle="1" w:styleId="apple-tab-span">
    <w:name w:val="apple-tab-span"/>
    <w:basedOn w:val="DefaultParagraphFont"/>
    <w:rsid w:val="00D70E36"/>
  </w:style>
</w:styles>
</file>

<file path=word/webSettings.xml><?xml version="1.0" encoding="utf-8"?>
<w:webSettings xmlns:r="http://schemas.openxmlformats.org/officeDocument/2006/relationships" xmlns:w="http://schemas.openxmlformats.org/wordprocessingml/2006/main">
  <w:divs>
    <w:div w:id="765153708">
      <w:bodyDiv w:val="1"/>
      <w:marLeft w:val="0"/>
      <w:marRight w:val="0"/>
      <w:marTop w:val="0"/>
      <w:marBottom w:val="0"/>
      <w:divBdr>
        <w:top w:val="none" w:sz="0" w:space="0" w:color="auto"/>
        <w:left w:val="none" w:sz="0" w:space="0" w:color="auto"/>
        <w:bottom w:val="none" w:sz="0" w:space="0" w:color="auto"/>
        <w:right w:val="none" w:sz="0" w:space="0" w:color="auto"/>
      </w:divBdr>
    </w:div>
    <w:div w:id="1241136337">
      <w:bodyDiv w:val="1"/>
      <w:marLeft w:val="0"/>
      <w:marRight w:val="0"/>
      <w:marTop w:val="0"/>
      <w:marBottom w:val="0"/>
      <w:divBdr>
        <w:top w:val="none" w:sz="0" w:space="0" w:color="auto"/>
        <w:left w:val="none" w:sz="0" w:space="0" w:color="auto"/>
        <w:bottom w:val="none" w:sz="0" w:space="0" w:color="auto"/>
        <w:right w:val="none" w:sz="0" w:space="0" w:color="auto"/>
      </w:divBdr>
      <w:divsChild>
        <w:div w:id="721293924">
          <w:marLeft w:val="0"/>
          <w:marRight w:val="0"/>
          <w:marTop w:val="0"/>
          <w:marBottom w:val="0"/>
          <w:divBdr>
            <w:top w:val="none" w:sz="0" w:space="0" w:color="auto"/>
            <w:left w:val="none" w:sz="0" w:space="0" w:color="auto"/>
            <w:bottom w:val="none" w:sz="0" w:space="0" w:color="auto"/>
            <w:right w:val="none" w:sz="0" w:space="0" w:color="auto"/>
          </w:divBdr>
        </w:div>
        <w:div w:id="531501483">
          <w:marLeft w:val="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ventscribe.com/2019/posters/AACE/SplitViewer.asp?PID=Mzk3MzY0MzU2MDA" TargetMode="External"/><Relationship Id="rId6" Type="http://schemas.openxmlformats.org/officeDocument/2006/relationships/hyperlink" Target="https://www.eventscribe.com/2019/posters/AACE/SplitViewer.asp?PID=Mzk3NDA4MjEyMDE" TargetMode="External"/><Relationship Id="rId7" Type="http://schemas.openxmlformats.org/officeDocument/2006/relationships/hyperlink" Target="https://www.eventscribe.com/2019/posters/AACE/SplitViewer.asp?PID=Mzk3Mzg4Mjc3MTY" TargetMode="External"/><Relationship Id="rId8" Type="http://schemas.openxmlformats.org/officeDocument/2006/relationships/hyperlink" Target="https://www.eventscribe.com/2019/posters/AACE/SplitViewer.asp?PID=Mzk3MjA4ODg2MDE" TargetMode="External"/><Relationship Id="rId9" Type="http://schemas.openxmlformats.org/officeDocument/2006/relationships/hyperlink" Target="https://www.eventscribe.com/2019/posters/AACE/SplitViewer.asp?PID=Mzk3NDM2MTIxNjQ#"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5149</Characters>
  <Application>Microsoft Word 12.1.0</Application>
  <DocSecurity>0</DocSecurity>
  <Lines>42</Lines>
  <Paragraphs>10</Paragraphs>
  <ScaleCrop>false</ScaleCrop>
  <LinksUpToDate>false</LinksUpToDate>
  <CharactersWithSpaces>6323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Dr. Ahmet Selçuk Can</cp:lastModifiedBy>
  <cp:revision>2</cp:revision>
  <cp:lastPrinted>2020-02-25T04:22:00Z</cp:lastPrinted>
  <dcterms:created xsi:type="dcterms:W3CDTF">2021-01-08T03:50:00Z</dcterms:created>
  <dcterms:modified xsi:type="dcterms:W3CDTF">2021-01-08T03:50:00Z</dcterms:modified>
</cp:coreProperties>
</file>